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center"/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AFAFA"/>
          <w:lang w:val="en-US" w:eastAsia="zh-CN" w:bidi="ar"/>
        </w:rPr>
        <w:t>  西华县2018年高中教师招聘计划表</w:t>
      </w:r>
    </w:p>
    <w:tbl>
      <w:tblPr>
        <w:tblW w:w="97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446"/>
        <w:gridCol w:w="446"/>
        <w:gridCol w:w="446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新能源汽修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服装设计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一高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二高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三高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一职高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二职高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</w:tr>
    </w:tbl>
    <w:p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AFAFA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AFAFA"/>
        </w:rPr>
        <w:t>西华县二职高校址在中原名镇逍遥镇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34DC4"/>
    <w:rsid w:val="1F13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2018-05-02T06:54:00Z</dcterms:created>
  <dc:creator>Administrator</dc:creator>
  <cp:lastModifiedBy>Administrator</cp:lastModifiedBy>
  <dcterms:modified xsi:type="dcterms:W3CDTF">2018-05-02T06:54:26Z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